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eschriftung"/>
        <w:shd w:val="clear" w:color="auto" w:fill="011892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outline w:val="0"/>
          <w:color w:val="fefb00"/>
          <w14:textFill>
            <w14:solidFill>
              <w14:srgbClr w14:val="FFFB00"/>
            </w14:solidFill>
          </w14:textFill>
        </w:rPr>
      </w:pPr>
      <w:r>
        <w:rPr>
          <w:outline w:val="0"/>
          <w:color w:val="fefb00"/>
          <w:rtl w:val="0"/>
          <w:lang w:val="de-DE"/>
          <w14:textFill>
            <w14:solidFill>
              <w14:srgbClr w14:val="FFFB00"/>
            </w14:solidFill>
          </w14:textFill>
        </w:rPr>
        <w:t>Strahlen-Fl</w:t>
      </w:r>
      <w:r>
        <w:rPr>
          <w:outline w:val="0"/>
          <w:color w:val="fefb00"/>
          <w:rtl w:val="0"/>
          <w14:textFill>
            <w14:solidFill>
              <w14:srgbClr w14:val="FFFB00"/>
            </w14:solidFill>
          </w14:textFill>
        </w:rPr>
        <w:t>ü</w:t>
      </w:r>
      <w:r>
        <w:rPr>
          <w:outline w:val="0"/>
          <w:color w:val="fefb00"/>
          <w:rtl w:val="0"/>
          <w:lang w:val="de-DE"/>
          <w14:textFill>
            <w14:solidFill>
              <w14:srgbClr w14:val="FFFB00"/>
            </w14:solidFill>
          </w14:textFill>
        </w:rPr>
        <w:t>chtlinge im eigenen Land?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4d5966"/>
          <w:sz w:val="22"/>
          <w:szCs w:val="22"/>
          <w:rtl w:val="0"/>
          <w14:textFill>
            <w14:solidFill>
              <w14:srgbClr w14:val="4E5A66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4d5966"/>
          <w:sz w:val="22"/>
          <w:szCs w:val="22"/>
          <w:rtl w:val="0"/>
          <w14:textFill>
            <w14:solidFill>
              <w14:srgbClr w14:val="4E5A66"/>
            </w14:solidFill>
          </w14:textFill>
        </w:rPr>
        <w:t>💛</w:t>
      </w:r>
      <w:r>
        <w:rPr>
          <w:outline w:val="0"/>
          <w:color w:val="4d5966"/>
          <w:sz w:val="22"/>
          <w:szCs w:val="22"/>
          <w:rtl w:val="0"/>
          <w14:textFill>
            <w14:solidFill>
              <w14:srgbClr w14:val="4E5A66"/>
            </w14:solidFill>
          </w14:textFill>
        </w:rPr>
        <w:t xml:space="preserve">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Am </w:t>
      </w:r>
      <w:r>
        <w:rPr>
          <w:b w:val="1"/>
          <w:bCs w:val="1"/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16. Juni 2022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 ist der 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„</w:t>
      </w:r>
      <w:r>
        <w:rPr>
          <w:b w:val="1"/>
          <w:bCs w:val="1"/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Welttag der Elektrohypersensibilit</w:t>
      </w:r>
      <w:r>
        <w:rPr>
          <w:b w:val="1"/>
          <w:bCs w:val="1"/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ä</w:t>
      </w:r>
      <w:r>
        <w:rPr>
          <w:b w:val="1"/>
          <w:bCs w:val="1"/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t</w:t>
      </w:r>
      <w:r>
        <w:rPr>
          <w:outline w:val="0"/>
          <w:color w:val="011892"/>
          <w:sz w:val="22"/>
          <w:szCs w:val="22"/>
          <w:rtl w:val="1"/>
          <w:lang w:val="ar-SA" w:bidi="ar-SA"/>
          <w14:textFill>
            <w14:solidFill>
              <w14:srgbClr w14:val="011993"/>
            </w14:solidFill>
          </w14:textFill>
        </w:rPr>
        <w:t>“</w:t>
      </w:r>
      <w:r>
        <w:rPr>
          <w:outline w:val="0"/>
          <w:color w:val="011892"/>
          <w:sz w:val="22"/>
          <w:szCs w:val="22"/>
          <w:rtl w:val="0"/>
          <w:lang w:val="ru-RU"/>
          <w14:textFill>
            <w14:solidFill>
              <w14:srgbClr w14:val="011993"/>
            </w14:solidFill>
          </w14:textFill>
        </w:rPr>
        <w:t xml:space="preserve">!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💛</w:t>
      </w:r>
    </w:p>
    <w:p>
      <w:pPr>
        <w:pStyle w:val="Standard"/>
        <w:bidi w:val="0"/>
        <w:spacing w:before="0"/>
        <w:ind w:left="720" w:right="0" w:firstLine="0"/>
        <w:jc w:val="left"/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Menschen fl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ü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chten in ihre Keller zum Schlafen und zum Arbeiten, sie fl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ü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chten aus ihren Wohnungen, ziehen st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ä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ndig um, verlieren ihren Arbeitsplatz. Manche sehen keinen anderen Ausweg als sich umzubringen. Grund ist die zunehmende, f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ü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r diese Menschen unertr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ä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gliche Mobilfunkbelastung.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💛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 xml:space="preserve">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Das Symbol f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ü</w:t>
      </w:r>
      <w:r>
        <w:rPr>
          <w:outline w:val="0"/>
          <w:color w:val="011892"/>
          <w:sz w:val="22"/>
          <w:szCs w:val="22"/>
          <w:rtl w:val="0"/>
          <w:lang w:val="it-IT"/>
          <w14:textFill>
            <w14:solidFill>
              <w14:srgbClr w14:val="011993"/>
            </w14:solidFill>
          </w14:textFill>
        </w:rPr>
        <w:t>r Elektrohypersensibilit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ä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t (EHS) ist ein gelbes Herz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💛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 xml:space="preserve"> </w:t>
      </w:r>
    </w:p>
    <w:p>
      <w:pPr>
        <w:pStyle w:val="Standard"/>
        <w:bidi w:val="0"/>
        <w:spacing w:before="0"/>
        <w:ind w:left="720" w:right="0" w:firstLine="0"/>
        <w:jc w:val="left"/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G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elb, wie die Kanarienv</w:t>
      </w:r>
      <w:r>
        <w:rPr>
          <w:outline w:val="0"/>
          <w:color w:val="011892"/>
          <w:sz w:val="22"/>
          <w:szCs w:val="22"/>
          <w:rtl w:val="0"/>
          <w:lang w:val="sv-SE"/>
          <w14:textFill>
            <w14:solidFill>
              <w14:srgbClr w14:val="011993"/>
            </w14:solidFill>
          </w14:textFill>
        </w:rPr>
        <w:t>ö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gel, die fr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ü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her im Bergbau vor dem geruchs-, geschmacks- und farblosen Kohlenstoffmonoxid warnten. Der Mobilfunk ist von einem Gro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ß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teil der Bev</w:t>
      </w:r>
      <w:r>
        <w:rPr>
          <w:outline w:val="0"/>
          <w:color w:val="011892"/>
          <w:sz w:val="22"/>
          <w:szCs w:val="22"/>
          <w:rtl w:val="0"/>
          <w:lang w:val="sv-SE"/>
          <w14:textFill>
            <w14:solidFill>
              <w14:srgbClr w14:val="011993"/>
            </w14:solidFill>
          </w14:textFill>
        </w:rPr>
        <w:t>ö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lkerung ebenso nicht wahrnehmbar, aber von ca. 5 % der Bev</w:t>
      </w:r>
      <w:r>
        <w:rPr>
          <w:outline w:val="0"/>
          <w:color w:val="011892"/>
          <w:sz w:val="22"/>
          <w:szCs w:val="22"/>
          <w:rtl w:val="0"/>
          <w:lang w:val="sv-SE"/>
          <w14:textFill>
            <w14:solidFill>
              <w14:srgbClr w14:val="011993"/>
            </w14:solidFill>
          </w14:textFill>
        </w:rPr>
        <w:t>ö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lkerung, die elektrohypersensibel sind. Diese k</w:t>
      </w:r>
      <w:r>
        <w:rPr>
          <w:outline w:val="0"/>
          <w:color w:val="011892"/>
          <w:sz w:val="22"/>
          <w:szCs w:val="22"/>
          <w:rtl w:val="0"/>
          <w:lang w:val="sv-SE"/>
          <w14:textFill>
            <w14:solidFill>
              <w14:srgbClr w14:val="011993"/>
            </w14:solidFill>
          </w14:textFill>
        </w:rPr>
        <w:t>ö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nnen am </w:t>
      </w:r>
      <w:r>
        <w:rPr>
          <w:outline w:val="0"/>
          <w:color w:val="011892"/>
          <w:sz w:val="22"/>
          <w:szCs w:val="22"/>
          <w:rtl w:val="0"/>
          <w:lang w:val="sv-SE"/>
          <w14:textFill>
            <w14:solidFill>
              <w14:srgbClr w14:val="011993"/>
            </w14:solidFill>
          </w14:textFill>
        </w:rPr>
        <w:t>ö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ffentlichen Leben immer weniger teilnehmen (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Symbol am EHS-Tag: unbesetzte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 gelbe St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ü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hle)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. Ihre Grundrechte, Menschenw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ü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rde und Freiheit sind damit sehr eingeschr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ä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nkt.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💛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 xml:space="preserve"> </w:t>
      </w:r>
      <w:r>
        <w:rPr>
          <w:outline w:val="0"/>
          <w:color w:val="011892"/>
          <w:sz w:val="22"/>
          <w:szCs w:val="22"/>
          <w:rtl w:val="0"/>
          <w:lang w:val="it-IT"/>
          <w14:textFill>
            <w14:solidFill>
              <w14:srgbClr w14:val="011993"/>
            </w14:solidFill>
          </w14:textFill>
        </w:rPr>
        <w:t>Elektrohypersensibilit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ä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t (EHS) ist eine umweltbedingte Erkrankung. </w:t>
      </w:r>
    </w:p>
    <w:p>
      <w:pPr>
        <w:pStyle w:val="Standard"/>
        <w:numPr>
          <w:ilvl w:val="1"/>
          <w:numId w:val="2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EHS wird durch elektromagnetische Felder, vor allem Mobilfunk, d. h.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Smartphones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, Schnurlostelefone, WLAN-Router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, Bluetooth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 usw., ausgel</w:t>
      </w:r>
      <w:r>
        <w:rPr>
          <w:outline w:val="0"/>
          <w:color w:val="011892"/>
          <w:sz w:val="22"/>
          <w:szCs w:val="22"/>
          <w:rtl w:val="0"/>
          <w:lang w:val="sv-SE"/>
          <w14:textFill>
            <w14:solidFill>
              <w14:srgbClr w14:val="011993"/>
            </w14:solidFill>
          </w14:textFill>
        </w:rPr>
        <w:t>ö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st.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💛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 xml:space="preserve"> 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Elektrohypersensible k</w:t>
      </w:r>
      <w:r>
        <w:rPr>
          <w:outline w:val="0"/>
          <w:color w:val="011892"/>
          <w:sz w:val="22"/>
          <w:szCs w:val="22"/>
          <w:rtl w:val="0"/>
          <w:lang w:val="sv-SE"/>
          <w14:textFill>
            <w14:solidFill>
              <w14:srgbClr w14:val="011993"/>
            </w14:solidFill>
          </w14:textFill>
        </w:rPr>
        <w:t>ö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nnen nicht beschwerdefrei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 xml:space="preserve">in </w:t>
      </w:r>
      <w:r>
        <w:rPr>
          <w:outline w:val="0"/>
          <w:color w:val="011892"/>
          <w:sz w:val="22"/>
          <w:szCs w:val="22"/>
          <w:rtl w:val="0"/>
          <w:lang w:val="sv-SE"/>
          <w14:textFill>
            <w14:solidFill>
              <w14:srgbClr w14:val="011993"/>
            </w14:solidFill>
          </w14:textFill>
        </w:rPr>
        <w:t>ö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ffentlichen Verkehrsmitteln fahren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an Veranstaltungen teilnehmen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in Mehrfamilienh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ä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usern schlafen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 xml:space="preserve">an 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„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normalen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“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Arbeitspl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ä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tzen arbeiten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sich in der N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ä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he von funkenden Ger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ä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ten aufhalten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.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💛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 xml:space="preserve"> </w:t>
      </w:r>
      <w:r>
        <w:rPr>
          <w:outline w:val="0"/>
          <w:color w:val="011892"/>
          <w:sz w:val="22"/>
          <w:szCs w:val="22"/>
          <w:rtl w:val="0"/>
          <w:lang w:val="en-US"/>
          <w14:textFill>
            <w14:solidFill>
              <w14:srgbClr w14:val="011993"/>
            </w14:solidFill>
          </w14:textFill>
        </w:rPr>
        <w:t xml:space="preserve">Symptome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von Elektrohypersensibilit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ä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t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sind u. a. 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Schlafst</w:t>
      </w:r>
      <w:r>
        <w:rPr>
          <w:outline w:val="0"/>
          <w:color w:val="011892"/>
          <w:sz w:val="22"/>
          <w:szCs w:val="22"/>
          <w:rtl w:val="0"/>
          <w:lang w:val="sv-SE"/>
          <w14:textFill>
            <w14:solidFill>
              <w14:srgbClr w14:val="011993"/>
            </w14:solidFill>
          </w14:textFill>
        </w:rPr>
        <w:t>ö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rungen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Kopfschmerzen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Chronische Ersch</w:t>
      </w:r>
      <w:r>
        <w:rPr>
          <w:outline w:val="0"/>
          <w:color w:val="011892"/>
          <w:sz w:val="22"/>
          <w:szCs w:val="22"/>
          <w:rtl w:val="0"/>
          <w:lang w:val="sv-SE"/>
          <w14:textFill>
            <w14:solidFill>
              <w14:srgbClr w14:val="011993"/>
            </w14:solidFill>
          </w14:textFill>
        </w:rPr>
        <w:t>ö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pfung / Burnout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Herzrhythmusst</w:t>
      </w:r>
      <w:r>
        <w:rPr>
          <w:outline w:val="0"/>
          <w:color w:val="011892"/>
          <w:sz w:val="22"/>
          <w:szCs w:val="22"/>
          <w:rtl w:val="0"/>
          <w:lang w:val="sv-SE"/>
          <w14:textFill>
            <w14:solidFill>
              <w14:srgbClr w14:val="011993"/>
            </w14:solidFill>
          </w14:textFill>
        </w:rPr>
        <w:t>ö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rungen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 xml:space="preserve">Tinnitus 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Bluthochdruck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Neurologische Symptome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Infektneigung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.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💛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 xml:space="preserve">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Der Europarat forderte schon vor Jahren mehr Vorsorge und eine Absenkung der Grenzwerte. 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💛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 xml:space="preserve">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Die Grenzwerte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der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hochfrequenten Mobilfunkstrahlung liegen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in D bei b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is zu 10 Mio. 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μ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W/m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²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. </w:t>
      </w:r>
    </w:p>
    <w:p>
      <w:pPr>
        <w:pStyle w:val="Standard"/>
        <w:bidi w:val="0"/>
        <w:spacing w:before="0"/>
        <w:ind w:left="720" w:right="0" w:firstLine="0"/>
        <w:jc w:val="left"/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Sie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 sind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damit in Deutschland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mit die h</w:t>
      </w:r>
      <w:r>
        <w:rPr>
          <w:outline w:val="0"/>
          <w:color w:val="011892"/>
          <w:sz w:val="22"/>
          <w:szCs w:val="22"/>
          <w:rtl w:val="0"/>
          <w:lang w:val="sv-SE"/>
          <w14:textFill>
            <w14:solidFill>
              <w14:srgbClr w14:val="011993"/>
            </w14:solidFill>
          </w14:textFill>
        </w:rPr>
        <w:t>ö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chsten weltweit und entsprechen nicht dem Vorsorgeprinzip. </w:t>
      </w:r>
    </w:p>
    <w:p>
      <w:pPr>
        <w:pStyle w:val="Standard"/>
        <w:bidi w:val="0"/>
        <w:spacing w:before="0"/>
        <w:ind w:left="720" w:right="0" w:firstLine="0"/>
        <w:jc w:val="left"/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Aus umweltmedizinischer und baubiologischer Sicht sollten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im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ö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ffentlichen Raum Werte von unter 100 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μ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W/m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 xml:space="preserve">²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und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am Schlafplatz Werte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von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unter 0,1 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μ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W/m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 xml:space="preserve">²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eingehalten werden.  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💛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 xml:space="preserve"> </w:t>
      </w:r>
      <w:r>
        <w:rPr>
          <w:outline w:val="0"/>
          <w:color w:val="011892"/>
          <w:sz w:val="22"/>
          <w:szCs w:val="22"/>
          <w:rtl w:val="0"/>
          <w:lang w:val="it-IT"/>
          <w14:textFill>
            <w14:solidFill>
              <w14:srgbClr w14:val="011993"/>
            </w14:solidFill>
          </w14:textFill>
        </w:rPr>
        <w:t>Elektrohypersensibilt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ä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t kann - wie auch Allergien - jeden Menschen treffen.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💛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 xml:space="preserve">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Strahlung reduzieren ist m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ö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glich:</w:t>
        <w:tab/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Schnelles Netz 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aus Glasfaserkabeln!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Tren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nung von Indoor- und Outdoor-Versorgun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g!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Reduzierung von funkenden Ger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ä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ten im Wohnbereich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Ä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u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ß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erliche Kennzeichnung aller funkende Ger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ä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te und Anlagen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Abschaltautomatik funkender Ger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ä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te bei Nichtgebrauch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Funkleistung von WLAN-Routern im Auslieferungszustand ausgeschaltet, beim Einschalten mit geringster Leistung, h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ä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ndisches Hochfahren  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Verpflichtung der Netzanbieter zur Nutzung nur eines Mobilfunknetzes (Roaming)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 xml:space="preserve">Keine Nutzung funkender 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Za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̈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hler fu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̈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r Strom, Wa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̈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rme, Gas und Wasser (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„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Smartmeter</w:t>
      </w:r>
      <w:r>
        <w:rPr>
          <w:outline w:val="0"/>
          <w:color w:val="011892"/>
          <w:sz w:val="22"/>
          <w:szCs w:val="22"/>
          <w:rtl w:val="1"/>
          <w:lang w:val="ar-SA" w:bidi="ar-SA"/>
          <w14:textFill>
            <w14:solidFill>
              <w14:srgbClr w14:val="011993"/>
            </w14:solidFill>
          </w14:textFill>
        </w:rPr>
        <w:t>“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)</w:t>
      </w:r>
    </w:p>
    <w:p>
      <w:pPr>
        <w:pStyle w:val="Standard"/>
        <w:numPr>
          <w:ilvl w:val="1"/>
          <w:numId w:val="3"/>
        </w:numPr>
        <w:bidi w:val="0"/>
        <w:spacing w:before="0"/>
        <w:ind w:right="0"/>
        <w:jc w:val="left"/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</w:pP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Alternative Technologien der mobilen Indoor-U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̈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bertragung, z. B. u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>̈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ber lichtbasierte Technik (Li-Fi)</w:t>
      </w:r>
      <w:r>
        <w:rPr>
          <w:outline w:val="0"/>
          <w:color w:val="011892"/>
          <w:sz w:val="22"/>
          <w:szCs w:val="22"/>
          <w:rtl w:val="0"/>
          <w:lang w:val="de-DE"/>
          <w14:textFill>
            <w14:solidFill>
              <w14:srgbClr w14:val="011993"/>
            </w14:solidFill>
          </w14:textFill>
        </w:rPr>
        <w:t>.</w:t>
      </w: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 xml:space="preserve"> </w:t>
      </w:r>
    </w:p>
    <w:p>
      <w:pPr>
        <w:pStyle w:val="Standard"/>
        <w:bidi w:val="0"/>
        <w:spacing w:before="0"/>
        <w:ind w:left="0" w:right="0" w:firstLine="0"/>
        <w:jc w:val="left"/>
        <w:rPr>
          <w:rtl w:val="0"/>
        </w:rPr>
      </w:pPr>
      <w:r>
        <w:rPr>
          <w:outline w:val="0"/>
          <w:color w:val="011892"/>
          <w:sz w:val="22"/>
          <w:szCs w:val="22"/>
          <w:rtl w:val="0"/>
          <w14:textFill>
            <w14:solidFill>
              <w14:srgbClr w14:val="011993"/>
            </w14:solidFill>
          </w14:textFill>
        </w:rPr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d5966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d5966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d5966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d5966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d5966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d5966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27" w:hanging="367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d5966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47" w:hanging="367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d5966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59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27" w:hanging="36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59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47" w:hanging="36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59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67" w:hanging="36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59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87" w:hanging="36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59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07" w:hanging="36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59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27" w:hanging="36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59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47" w:hanging="367"/>
        </w:pPr>
        <w:rPr>
          <w:rFonts w:ascii="Verdana" w:cs="Verdana" w:hAnsi="Verdana" w:eastAsia="Verdan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5966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eschriftung">
    <w:name w:val="Beschriftung"/>
    <w:next w:val="Beschriftung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FFFFFF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